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466C" w14:textId="4E6AE592" w:rsidR="009407A1" w:rsidRPr="0030165F" w:rsidRDefault="004D6624" w:rsidP="0030165F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</w:pPr>
      <w:r w:rsidRPr="0030165F">
        <w:rPr>
          <w:rFonts w:eastAsia="Times New Roman" w:cstheme="minorHAnsi"/>
          <w:b/>
          <w:bCs/>
          <w:noProof/>
          <w:color w:val="222222"/>
          <w:sz w:val="24"/>
          <w:szCs w:val="24"/>
          <w:lang w:val="ka-GE"/>
        </w:rPr>
        <w:t>დანართი N1</w:t>
      </w:r>
    </w:p>
    <w:p w14:paraId="2802D044" w14:textId="201BC494" w:rsidR="0030165F" w:rsidRDefault="0030165F" w:rsidP="0074567B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222222"/>
          <w:sz w:val="20"/>
          <w:szCs w:val="20"/>
          <w:lang w:val="ka-GE"/>
        </w:rPr>
      </w:pPr>
    </w:p>
    <w:p w14:paraId="64512F77" w14:textId="1996CFEF" w:rsidR="0030165F" w:rsidRDefault="0030165F" w:rsidP="0074567B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222222"/>
          <w:sz w:val="20"/>
          <w:szCs w:val="20"/>
          <w:lang w:val="ka-GE"/>
        </w:rPr>
      </w:pPr>
    </w:p>
    <w:p w14:paraId="49B3C649" w14:textId="77777777" w:rsidR="0030165F" w:rsidRDefault="0030165F" w:rsidP="0074567B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222222"/>
          <w:sz w:val="20"/>
          <w:szCs w:val="20"/>
          <w:lang w:val="ka-GE"/>
        </w:rPr>
      </w:pPr>
    </w:p>
    <w:p w14:paraId="5827A93C" w14:textId="77777777" w:rsidR="0030165F" w:rsidRPr="004D6624" w:rsidRDefault="0030165F" w:rsidP="0074567B">
      <w:pPr>
        <w:spacing w:after="0" w:line="240" w:lineRule="auto"/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</w:p>
    <w:p w14:paraId="4DA98948" w14:textId="77777777" w:rsidR="009407A1" w:rsidRPr="009407A1" w:rsidRDefault="009407A1" w:rsidP="0074567B">
      <w:pPr>
        <w:spacing w:after="0" w:line="240" w:lineRule="auto"/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  <w:r w:rsidRPr="009407A1">
        <w:rPr>
          <w:rFonts w:eastAsia="Times New Roman" w:cstheme="minorHAnsi"/>
          <w:b/>
          <w:bCs/>
          <w:noProof/>
          <w:color w:val="222222"/>
          <w:sz w:val="20"/>
          <w:szCs w:val="20"/>
          <w:u w:val="single"/>
          <w:lang w:val="ka-GE"/>
        </w:rPr>
        <w:t>მოთხოვნები სისტემის მიმართ:</w:t>
      </w:r>
    </w:p>
    <w:p w14:paraId="7C046625" w14:textId="77777777" w:rsidR="009407A1" w:rsidRPr="009407A1" w:rsidRDefault="009407A1" w:rsidP="007456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  <w:r w:rsidRPr="009407A1">
        <w:rPr>
          <w:rFonts w:eastAsia="Times New Roman" w:cstheme="minorHAnsi"/>
          <w:noProof/>
          <w:color w:val="222222"/>
          <w:sz w:val="20"/>
          <w:szCs w:val="20"/>
          <w:lang w:val="ka-GE"/>
        </w:rPr>
        <w:t>ტენდერი ცხადდება ლიზინგის სისტემის შესყიდვაზე და არა შექმნაზე, რაც ნიშნავს იმას, რომ სისტემა უნდა იყოს შემუშვებული, დატესტილი და წარმატებით დანერგილი მინიმუმ 1 კომპანიაში</w:t>
      </w:r>
    </w:p>
    <w:p w14:paraId="4FCF9539" w14:textId="65FC507C" w:rsidR="009407A1" w:rsidRPr="007017EC" w:rsidRDefault="007017EC" w:rsidP="007456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  <w:r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ლიზინგის </w:t>
      </w:r>
      <w:r w:rsidRPr="007017EC">
        <w:rPr>
          <w:rFonts w:eastAsia="Times New Roman" w:cstheme="minorHAnsi"/>
          <w:noProof/>
          <w:color w:val="222222"/>
          <w:sz w:val="20"/>
          <w:szCs w:val="20"/>
          <w:lang w:val="ka-GE"/>
        </w:rPr>
        <w:t>სისტემას უნდა შეეძლოს მორგება საქართველოში არსებულ კანონმდებლობასა და რეგულაციებზე </w:t>
      </w:r>
    </w:p>
    <w:p w14:paraId="699C883E" w14:textId="0510506B" w:rsidR="009407A1" w:rsidRDefault="009407A1" w:rsidP="0074567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  <w:r w:rsidRPr="00A5132B">
        <w:rPr>
          <w:rFonts w:eastAsia="Times New Roman" w:cstheme="minorHAnsi"/>
          <w:noProof/>
          <w:color w:val="222222"/>
          <w:sz w:val="20"/>
          <w:szCs w:val="20"/>
          <w:lang w:val="ka-GE"/>
        </w:rPr>
        <w:t>სისტემას უნდა გააჩნდეს</w:t>
      </w:r>
      <w:r w:rsidRPr="009407A1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ინტეგრაციის შესაძლებლობა  საქართველოში არსებულ ძირითად საჯარო და კერძო ინსტიტუციებთან, როგორიცაა საკრედიტო ბიურო, მეწარმეთა და არასამეწარმეო (არაკომერციულ) პირთა რეესტრი, სამოქალაქო რეესტრი, შემოსავლების სამსახური, საპატრულო ჯარიმების სისტემა, კომერციული ბანკები</w:t>
      </w:r>
      <w:r w:rsidR="003050D7"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ს ინტერნეტბანკ</w:t>
      </w:r>
      <w:r w:rsidR="008E5783">
        <w:rPr>
          <w:rFonts w:eastAsia="Times New Roman" w:cstheme="minorHAnsi"/>
          <w:noProof/>
          <w:color w:val="222222"/>
          <w:sz w:val="20"/>
          <w:szCs w:val="20"/>
          <w:lang w:val="ka-GE"/>
        </w:rPr>
        <w:t>ებ</w:t>
      </w:r>
      <w:r w:rsidR="003050D7"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ი და თვითმომსახურების ტერმინალები (ჩარიცხვების და გადარიცხვების სისტემაში ასახვის მიზნით)</w:t>
      </w:r>
      <w:r w:rsidR="008D56CC"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, საბუღალტრო პროგრამები.</w:t>
      </w:r>
    </w:p>
    <w:p w14:paraId="2B23E798" w14:textId="227BC23A" w:rsidR="007E08CA" w:rsidRDefault="007E08CA" w:rsidP="0074567B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>
        <w:rPr>
          <w:rFonts w:cstheme="minorHAnsi"/>
          <w:noProof/>
          <w:sz w:val="20"/>
          <w:szCs w:val="20"/>
          <w:lang w:val="ka-GE"/>
        </w:rPr>
        <w:t xml:space="preserve">სისტემას უნდა გააჩნდეს სისტემის </w:t>
      </w:r>
      <w:r w:rsidRPr="003050D7">
        <w:rPr>
          <w:rFonts w:cstheme="minorHAnsi"/>
          <w:noProof/>
          <w:sz w:val="20"/>
          <w:szCs w:val="20"/>
          <w:lang w:val="ka-GE"/>
        </w:rPr>
        <w:t>მომხმარებლების და მომხმარებლთა ჯგუფების უფლებების მართვ</w:t>
      </w:r>
      <w:r>
        <w:rPr>
          <w:rFonts w:cstheme="minorHAnsi"/>
          <w:noProof/>
          <w:sz w:val="20"/>
          <w:szCs w:val="20"/>
          <w:lang w:val="ka-GE"/>
        </w:rPr>
        <w:t>ის</w:t>
      </w:r>
      <w:r w:rsidRPr="003050D7">
        <w:rPr>
          <w:rFonts w:cstheme="minorHAnsi"/>
          <w:noProof/>
          <w:sz w:val="20"/>
          <w:szCs w:val="20"/>
          <w:lang w:val="ka-GE"/>
        </w:rPr>
        <w:t>, სისტემაში წვდომების და ქმედებების შეზღუდვ</w:t>
      </w:r>
      <w:r>
        <w:rPr>
          <w:rFonts w:cstheme="minorHAnsi"/>
          <w:noProof/>
          <w:sz w:val="20"/>
          <w:szCs w:val="20"/>
          <w:lang w:val="ka-GE"/>
        </w:rPr>
        <w:t>ის და</w:t>
      </w:r>
      <w:r w:rsidRPr="003050D7">
        <w:rPr>
          <w:rFonts w:cstheme="minorHAnsi"/>
          <w:noProof/>
          <w:sz w:val="20"/>
          <w:szCs w:val="20"/>
          <w:lang w:val="ka-GE"/>
        </w:rPr>
        <w:t xml:space="preserve"> განხორციელებული ქმედებების</w:t>
      </w:r>
      <w:r w:rsidR="00760E97">
        <w:rPr>
          <w:rFonts w:cstheme="minorHAnsi"/>
          <w:noProof/>
          <w:sz w:val="20"/>
          <w:szCs w:val="20"/>
          <w:lang w:val="ka-GE"/>
        </w:rPr>
        <w:t xml:space="preserve"> და ცვლილებების</w:t>
      </w:r>
      <w:r>
        <w:rPr>
          <w:rFonts w:cstheme="minorHAnsi"/>
          <w:noProof/>
          <w:sz w:val="20"/>
          <w:szCs w:val="20"/>
          <w:lang w:val="ka-GE"/>
        </w:rPr>
        <w:t xml:space="preserve"> დათვალიერების ფუნქცია</w:t>
      </w:r>
    </w:p>
    <w:p w14:paraId="1D1228E6" w14:textId="271CB0A2" w:rsidR="00B54E6A" w:rsidRPr="00655908" w:rsidRDefault="00B54E6A" w:rsidP="0074567B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3050D7">
        <w:rPr>
          <w:rFonts w:cstheme="minorHAnsi"/>
          <w:noProof/>
          <w:sz w:val="20"/>
          <w:szCs w:val="20"/>
          <w:lang w:val="ka-GE"/>
        </w:rPr>
        <w:t>სისტემ</w:t>
      </w:r>
      <w:r>
        <w:rPr>
          <w:rFonts w:cstheme="minorHAnsi"/>
          <w:noProof/>
          <w:sz w:val="20"/>
          <w:szCs w:val="20"/>
          <w:lang w:val="ka-GE"/>
        </w:rPr>
        <w:t xml:space="preserve">ას უნდა გააჩნდეს დახვეწილი </w:t>
      </w:r>
      <w:r w:rsidR="00760E97">
        <w:rPr>
          <w:rFonts w:cstheme="minorHAnsi"/>
          <w:noProof/>
          <w:sz w:val="20"/>
          <w:szCs w:val="20"/>
          <w:lang w:val="ka-GE"/>
        </w:rPr>
        <w:t xml:space="preserve">საძიებო </w:t>
      </w:r>
      <w:r>
        <w:rPr>
          <w:rFonts w:cstheme="minorHAnsi"/>
          <w:noProof/>
          <w:sz w:val="20"/>
          <w:szCs w:val="20"/>
          <w:lang w:val="ka-GE"/>
        </w:rPr>
        <w:t>სისტემა</w:t>
      </w:r>
    </w:p>
    <w:p w14:paraId="42EA7504" w14:textId="7055BC86" w:rsidR="00655908" w:rsidRDefault="00655908" w:rsidP="0074567B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>
        <w:rPr>
          <w:rFonts w:cstheme="minorHAnsi"/>
          <w:noProof/>
          <w:sz w:val="20"/>
          <w:szCs w:val="20"/>
          <w:lang w:val="ka-GE"/>
        </w:rPr>
        <w:t xml:space="preserve">სისტემას უნდა გააჩნდეს </w:t>
      </w:r>
      <w:r w:rsidRPr="003050D7">
        <w:rPr>
          <w:rFonts w:cstheme="minorHAnsi"/>
          <w:noProof/>
          <w:sz w:val="20"/>
          <w:szCs w:val="20"/>
          <w:lang w:val="ka-GE"/>
        </w:rPr>
        <w:t>დავალებების</w:t>
      </w:r>
      <w:r>
        <w:rPr>
          <w:rFonts w:cstheme="minorHAnsi"/>
          <w:noProof/>
          <w:sz w:val="20"/>
          <w:szCs w:val="20"/>
          <w:lang w:val="ka-GE"/>
        </w:rPr>
        <w:t xml:space="preserve"> და</w:t>
      </w:r>
      <w:r w:rsidRPr="003050D7">
        <w:rPr>
          <w:rFonts w:cstheme="minorHAnsi"/>
          <w:noProof/>
          <w:sz w:val="20"/>
          <w:szCs w:val="20"/>
          <w:lang w:val="ka-GE"/>
        </w:rPr>
        <w:t xml:space="preserve"> ჩანიშვნების</w:t>
      </w:r>
      <w:r>
        <w:rPr>
          <w:rFonts w:cstheme="minorHAnsi"/>
          <w:noProof/>
          <w:sz w:val="20"/>
          <w:szCs w:val="20"/>
          <w:lang w:val="ka-GE"/>
        </w:rPr>
        <w:t xml:space="preserve"> (</w:t>
      </w:r>
      <w:r>
        <w:rPr>
          <w:rFonts w:cstheme="minorHAnsi"/>
          <w:noProof/>
          <w:sz w:val="20"/>
          <w:szCs w:val="20"/>
        </w:rPr>
        <w:t>tasks, notes)</w:t>
      </w:r>
      <w:r w:rsidRPr="003050D7">
        <w:rPr>
          <w:rFonts w:cstheme="minorHAnsi"/>
          <w:noProof/>
          <w:sz w:val="20"/>
          <w:szCs w:val="20"/>
          <w:lang w:val="ka-GE"/>
        </w:rPr>
        <w:t xml:space="preserve"> მართვის მოდული</w:t>
      </w:r>
    </w:p>
    <w:p w14:paraId="41740533" w14:textId="65A5F148" w:rsidR="00655908" w:rsidRPr="00655908" w:rsidRDefault="00655908" w:rsidP="0074567B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>
        <w:rPr>
          <w:rFonts w:cstheme="minorHAnsi"/>
          <w:noProof/>
          <w:sz w:val="20"/>
          <w:szCs w:val="20"/>
          <w:lang w:val="ka-GE"/>
        </w:rPr>
        <w:t xml:space="preserve">სისტემას უნდა გააჩნდეს </w:t>
      </w:r>
      <w:r w:rsidRPr="003050D7">
        <w:rPr>
          <w:rFonts w:cstheme="minorHAnsi"/>
          <w:noProof/>
          <w:sz w:val="20"/>
          <w:szCs w:val="20"/>
          <w:lang w:val="ka-GE"/>
        </w:rPr>
        <w:t xml:space="preserve">შეტყობინებების და </w:t>
      </w:r>
      <w:r w:rsidR="00760E97">
        <w:rPr>
          <w:rFonts w:cstheme="minorHAnsi"/>
          <w:noProof/>
          <w:sz w:val="20"/>
          <w:szCs w:val="20"/>
          <w:lang w:val="ka-GE"/>
        </w:rPr>
        <w:t>მეილების</w:t>
      </w:r>
      <w:r w:rsidRPr="003050D7">
        <w:rPr>
          <w:rFonts w:cstheme="minorHAnsi"/>
          <w:noProof/>
          <w:sz w:val="20"/>
          <w:szCs w:val="20"/>
          <w:lang w:val="ka-GE"/>
        </w:rPr>
        <w:t xml:space="preserve"> სისტემიდან გაგზავნის შესაძლებლობა</w:t>
      </w:r>
      <w:r w:rsidR="00760E97">
        <w:rPr>
          <w:rFonts w:cstheme="minorHAnsi"/>
          <w:noProof/>
          <w:sz w:val="20"/>
          <w:szCs w:val="20"/>
          <w:lang w:val="ka-GE"/>
        </w:rPr>
        <w:t xml:space="preserve"> (</w:t>
      </w:r>
      <w:r w:rsidRPr="003050D7">
        <w:rPr>
          <w:rFonts w:cstheme="minorHAnsi"/>
          <w:noProof/>
          <w:sz w:val="20"/>
          <w:szCs w:val="20"/>
          <w:lang w:val="ka-GE"/>
        </w:rPr>
        <w:t xml:space="preserve">მაგ. </w:t>
      </w:r>
      <w:r w:rsidR="00760E97">
        <w:rPr>
          <w:rFonts w:cstheme="minorHAnsi"/>
          <w:noProof/>
          <w:sz w:val="20"/>
          <w:szCs w:val="20"/>
          <w:lang w:val="ka-GE"/>
        </w:rPr>
        <w:t>ვადაგადაცილებების შესახებ შეტყობინება, გადახდის თარიღის მოახლოების შესახებ შეტყობინება, განახლებული გადახდის გრაფიკის გაგზავნის შესაძლებლობა და სხვა)</w:t>
      </w:r>
    </w:p>
    <w:p w14:paraId="352398E0" w14:textId="08EA9A08" w:rsidR="009407A1" w:rsidRPr="007E08CA" w:rsidRDefault="009407A1" w:rsidP="0074567B">
      <w:pPr>
        <w:pStyle w:val="ListParagraph"/>
        <w:numPr>
          <w:ilvl w:val="0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7E08CA">
        <w:rPr>
          <w:rFonts w:eastAsia="Times New Roman" w:cstheme="minorHAnsi"/>
          <w:noProof/>
          <w:color w:val="222222"/>
          <w:sz w:val="20"/>
          <w:szCs w:val="20"/>
          <w:lang w:val="ka-GE"/>
        </w:rPr>
        <w:t>სისტემა უნდა მოიცავდეს</w:t>
      </w:r>
      <w:r w:rsidR="008D56CC" w:rsidRPr="007E08CA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მინიმუმ</w:t>
      </w:r>
      <w:r w:rsidRPr="007E08CA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შემდეგ მოდულებს</w:t>
      </w:r>
      <w:r w:rsidR="008D56CC" w:rsidRPr="007E08CA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და ფუნქციებს:</w:t>
      </w:r>
    </w:p>
    <w:p w14:paraId="2C56E808" w14:textId="3150774C" w:rsidR="008D56CC" w:rsidRPr="003050D7" w:rsidRDefault="00401325" w:rsidP="0074567B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  <w:r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სუბიექტების (ლიზინგის მიმღები, მომწოდებელი, თავდები პირი და ა.შ.) </w:t>
      </w:r>
      <w:r w:rsid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სისტემაში რეგისტრაციის, </w:t>
      </w:r>
      <w:r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მონაცემების დამატებ</w:t>
      </w:r>
      <w:r w:rsidR="003050D7"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ის</w:t>
      </w:r>
      <w:r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, საჭირო ველების კონფიგურაციის,</w:t>
      </w:r>
      <w:r w:rsidR="00B54E6A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</w:t>
      </w:r>
      <w:r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დაკავშირებული სუბიექტების იდენტიფიკაციის</w:t>
      </w:r>
      <w:r w:rsidR="00201FCD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</w:t>
      </w:r>
      <w:r w:rsidRPr="003050D7">
        <w:rPr>
          <w:rFonts w:eastAsia="Times New Roman" w:cstheme="minorHAnsi"/>
          <w:noProof/>
          <w:color w:val="222222"/>
          <w:sz w:val="20"/>
          <w:szCs w:val="20"/>
          <w:lang w:val="ka-GE"/>
        </w:rPr>
        <w:t>შესაძლებლობა</w:t>
      </w:r>
    </w:p>
    <w:p w14:paraId="1DE19427" w14:textId="7DADB92D" w:rsidR="00385075" w:rsidRPr="00385075" w:rsidRDefault="007558B6" w:rsidP="0074567B">
      <w:pPr>
        <w:pStyle w:val="ListParagraph"/>
        <w:numPr>
          <w:ilvl w:val="1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7558B6">
        <w:rPr>
          <w:rFonts w:cstheme="minorHAnsi"/>
          <w:noProof/>
          <w:sz w:val="20"/>
          <w:szCs w:val="20"/>
          <w:lang w:val="ka-GE"/>
        </w:rPr>
        <w:t>აქტივ</w:t>
      </w:r>
      <w:r w:rsidR="00385075">
        <w:rPr>
          <w:rFonts w:cstheme="minorHAnsi"/>
          <w:noProof/>
          <w:sz w:val="20"/>
          <w:szCs w:val="20"/>
          <w:lang w:val="ka-GE"/>
        </w:rPr>
        <w:t>ები</w:t>
      </w:r>
      <w:r w:rsidRPr="007558B6">
        <w:rPr>
          <w:rFonts w:cstheme="minorHAnsi"/>
          <w:noProof/>
          <w:sz w:val="20"/>
          <w:szCs w:val="20"/>
          <w:lang w:val="ka-GE"/>
        </w:rPr>
        <w:t xml:space="preserve">ს მართვა, რაც გულისხმობს: </w:t>
      </w:r>
      <w:r w:rsidR="003050D7" w:rsidRPr="007558B6">
        <w:rPr>
          <w:rFonts w:cstheme="minorHAnsi"/>
          <w:noProof/>
          <w:sz w:val="20"/>
          <w:szCs w:val="20"/>
          <w:lang w:val="ka-GE"/>
        </w:rPr>
        <w:t>აქტივების (ლიზინგის საგნ</w:t>
      </w:r>
      <w:r w:rsidR="00944C7C" w:rsidRPr="007558B6">
        <w:rPr>
          <w:rFonts w:cstheme="minorHAnsi"/>
          <w:noProof/>
          <w:sz w:val="20"/>
          <w:szCs w:val="20"/>
          <w:lang w:val="ka-GE"/>
        </w:rPr>
        <w:t>ებ</w:t>
      </w:r>
      <w:r w:rsidR="003050D7" w:rsidRPr="007558B6">
        <w:rPr>
          <w:rFonts w:cstheme="minorHAnsi"/>
          <w:noProof/>
          <w:sz w:val="20"/>
          <w:szCs w:val="20"/>
          <w:lang w:val="ka-GE"/>
        </w:rPr>
        <w:t>ის) სისტემაში რეგისტრაციის, მონაცემების დამატების</w:t>
      </w:r>
      <w:r w:rsidR="00944C7C" w:rsidRPr="007558B6">
        <w:rPr>
          <w:rFonts w:cstheme="minorHAnsi"/>
          <w:noProof/>
          <w:sz w:val="20"/>
          <w:szCs w:val="20"/>
          <w:lang w:val="ka-GE"/>
        </w:rPr>
        <w:t>/რედაქტირების</w:t>
      </w:r>
      <w:r w:rsidR="003050D7" w:rsidRPr="007558B6">
        <w:rPr>
          <w:rFonts w:cstheme="minorHAnsi"/>
          <w:noProof/>
          <w:sz w:val="20"/>
          <w:szCs w:val="20"/>
          <w:lang w:val="ka-GE"/>
        </w:rPr>
        <w:t>,</w:t>
      </w:r>
      <w:r w:rsidR="00944C7C" w:rsidRPr="007558B6">
        <w:rPr>
          <w:rFonts w:cstheme="minorHAnsi"/>
          <w:noProof/>
          <w:sz w:val="20"/>
          <w:szCs w:val="20"/>
          <w:lang w:val="ka-GE"/>
        </w:rPr>
        <w:t xml:space="preserve"> აქტივის ტიპების </w:t>
      </w:r>
      <w:r w:rsidR="00385075">
        <w:rPr>
          <w:rFonts w:cstheme="minorHAnsi"/>
          <w:noProof/>
          <w:sz w:val="20"/>
          <w:szCs w:val="20"/>
          <w:lang w:val="ka-GE"/>
        </w:rPr>
        <w:t xml:space="preserve">მიხედვით </w:t>
      </w:r>
      <w:r w:rsidR="00944C7C" w:rsidRPr="007558B6">
        <w:rPr>
          <w:rFonts w:cstheme="minorHAnsi"/>
          <w:noProof/>
          <w:sz w:val="20"/>
          <w:szCs w:val="20"/>
          <w:lang w:val="ka-GE"/>
        </w:rPr>
        <w:t>კლასიფიკაციის</w:t>
      </w:r>
      <w:r w:rsidR="00385075">
        <w:rPr>
          <w:rFonts w:cstheme="minorHAnsi"/>
          <w:noProof/>
          <w:sz w:val="20"/>
          <w:szCs w:val="20"/>
          <w:lang w:val="ka-GE"/>
        </w:rPr>
        <w:t xml:space="preserve"> შესაძლებლობა;</w:t>
      </w:r>
      <w:r w:rsidRPr="007558B6">
        <w:rPr>
          <w:rFonts w:cstheme="minorHAnsi"/>
          <w:noProof/>
          <w:sz w:val="20"/>
          <w:szCs w:val="20"/>
          <w:lang w:val="ka-GE"/>
        </w:rPr>
        <w:t xml:space="preserve"> </w:t>
      </w:r>
      <w:r w:rsidR="003050D7" w:rsidRPr="007558B6">
        <w:rPr>
          <w:rFonts w:cstheme="minorHAnsi"/>
          <w:noProof/>
          <w:sz w:val="20"/>
          <w:szCs w:val="20"/>
          <w:lang w:val="ka-GE"/>
        </w:rPr>
        <w:t>აქტივების შეფასებების შექმნ</w:t>
      </w:r>
      <w:r w:rsidR="00944C7C" w:rsidRPr="007558B6">
        <w:rPr>
          <w:rFonts w:cstheme="minorHAnsi"/>
          <w:noProof/>
          <w:sz w:val="20"/>
          <w:szCs w:val="20"/>
          <w:lang w:val="ka-GE"/>
        </w:rPr>
        <w:t>ის</w:t>
      </w:r>
      <w:r w:rsidR="003050D7" w:rsidRPr="007558B6">
        <w:rPr>
          <w:rFonts w:cstheme="minorHAnsi"/>
          <w:noProof/>
          <w:sz w:val="20"/>
          <w:szCs w:val="20"/>
          <w:lang w:val="ka-GE"/>
        </w:rPr>
        <w:t>/გენერაცი</w:t>
      </w:r>
      <w:r w:rsidR="00944C7C" w:rsidRPr="007558B6">
        <w:rPr>
          <w:rFonts w:cstheme="minorHAnsi"/>
          <w:noProof/>
          <w:sz w:val="20"/>
          <w:szCs w:val="20"/>
          <w:lang w:val="ka-GE"/>
        </w:rPr>
        <w:t>ის შესაძლებლობა</w:t>
      </w:r>
      <w:r w:rsidR="003050D7" w:rsidRPr="007558B6">
        <w:rPr>
          <w:rFonts w:cstheme="minorHAnsi"/>
          <w:noProof/>
          <w:sz w:val="20"/>
          <w:szCs w:val="20"/>
          <w:lang w:val="ka-GE"/>
        </w:rPr>
        <w:t xml:space="preserve"> ანალოგების, დანახარჯების და მონიტორინგის მეთოდებით</w:t>
      </w:r>
      <w:r>
        <w:rPr>
          <w:rFonts w:cstheme="minorHAnsi"/>
          <w:noProof/>
          <w:sz w:val="20"/>
          <w:szCs w:val="20"/>
          <w:lang w:val="ka-GE"/>
        </w:rPr>
        <w:t xml:space="preserve">; </w:t>
      </w:r>
      <w:r w:rsidR="00944C7C" w:rsidRPr="007558B6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აქტივის მონიტორინგის/ინსპექტირების </w:t>
      </w:r>
      <w:r w:rsidRPr="007558B6">
        <w:rPr>
          <w:rFonts w:eastAsia="Times New Roman" w:cstheme="minorHAnsi"/>
          <w:noProof/>
          <w:color w:val="222222"/>
          <w:sz w:val="20"/>
          <w:szCs w:val="20"/>
          <w:lang w:val="ka-GE"/>
        </w:rPr>
        <w:t>დასკვნის შექმნის შესაძლებლობა და აქტივის ტიპების მიხედვით საჭირო ვადებში მონიტორინგის</w:t>
      </w:r>
      <w:r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და შეფასების</w:t>
      </w:r>
      <w:r w:rsidRPr="007558B6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დავალების შექმნის შესაძლებლობა</w:t>
      </w:r>
      <w:r w:rsidR="00385075">
        <w:rPr>
          <w:rFonts w:eastAsia="Times New Roman" w:cstheme="minorHAnsi"/>
          <w:noProof/>
          <w:color w:val="222222"/>
          <w:sz w:val="20"/>
          <w:szCs w:val="20"/>
          <w:lang w:val="ka-GE"/>
        </w:rPr>
        <w:t>; აქტივის დაზღვევის განაცხადის და ხელშეკრულების შექმნ</w:t>
      </w:r>
      <w:r w:rsidR="00B54E6A">
        <w:rPr>
          <w:rFonts w:eastAsia="Times New Roman" w:cstheme="minorHAnsi"/>
          <w:noProof/>
          <w:color w:val="222222"/>
          <w:sz w:val="20"/>
          <w:szCs w:val="20"/>
          <w:lang w:val="ka-GE"/>
        </w:rPr>
        <w:t>ის</w:t>
      </w:r>
      <w:r w:rsidR="00385075">
        <w:rPr>
          <w:rFonts w:eastAsia="Times New Roman" w:cstheme="minorHAnsi"/>
          <w:noProof/>
          <w:color w:val="222222"/>
          <w:sz w:val="20"/>
          <w:szCs w:val="20"/>
          <w:lang w:val="ka-GE"/>
        </w:rPr>
        <w:t>, სადაზღვევო შემთხვევის ან/და დარეგულირების აქტის ასახვ</w:t>
      </w:r>
      <w:r w:rsidR="00B54E6A">
        <w:rPr>
          <w:rFonts w:eastAsia="Times New Roman" w:cstheme="minorHAnsi"/>
          <w:noProof/>
          <w:color w:val="222222"/>
          <w:sz w:val="20"/>
          <w:szCs w:val="20"/>
          <w:lang w:val="ka-GE"/>
        </w:rPr>
        <w:t>ის ფუნქციები;</w:t>
      </w:r>
    </w:p>
    <w:p w14:paraId="62761682" w14:textId="0D527DD0" w:rsidR="00385075" w:rsidRPr="00655908" w:rsidRDefault="008A7F79" w:rsidP="0074567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0"/>
          <w:szCs w:val="20"/>
          <w:lang w:val="ka-GE"/>
        </w:rPr>
      </w:pPr>
      <w:r>
        <w:rPr>
          <w:rFonts w:cstheme="minorHAnsi"/>
          <w:noProof/>
          <w:sz w:val="20"/>
          <w:szCs w:val="20"/>
          <w:lang w:val="ka-GE"/>
        </w:rPr>
        <w:t xml:space="preserve">ლიზინგის </w:t>
      </w:r>
      <w:r w:rsidR="008E5783">
        <w:rPr>
          <w:rFonts w:cstheme="minorHAnsi"/>
          <w:noProof/>
          <w:sz w:val="20"/>
          <w:szCs w:val="20"/>
          <w:lang w:val="ka-GE"/>
        </w:rPr>
        <w:t xml:space="preserve">(ფინანსური და საოპერაციო) დამუშვებისა და </w:t>
      </w:r>
      <w:r>
        <w:rPr>
          <w:rFonts w:cstheme="minorHAnsi"/>
          <w:noProof/>
          <w:sz w:val="20"/>
          <w:szCs w:val="20"/>
          <w:lang w:val="ka-GE"/>
        </w:rPr>
        <w:t xml:space="preserve">გაცემის საოპერაციო ციკლის მართვა: </w:t>
      </w:r>
      <w:r w:rsidR="00385075" w:rsidRPr="00385075">
        <w:rPr>
          <w:rFonts w:cstheme="minorHAnsi"/>
          <w:noProof/>
          <w:sz w:val="20"/>
          <w:szCs w:val="20"/>
          <w:lang w:val="ka-GE"/>
        </w:rPr>
        <w:t>ლიზინგის პროდუქტების და პროექტის ტიპების შექმნა/მართვ</w:t>
      </w:r>
      <w:r w:rsidR="008E5783">
        <w:rPr>
          <w:rFonts w:cstheme="minorHAnsi"/>
          <w:noProof/>
          <w:sz w:val="20"/>
          <w:szCs w:val="20"/>
          <w:lang w:val="ka-GE"/>
        </w:rPr>
        <w:t>ის შესაძლებლობა</w:t>
      </w:r>
      <w:r w:rsidR="00B54E6A">
        <w:rPr>
          <w:rFonts w:cstheme="minorHAnsi"/>
          <w:noProof/>
          <w:sz w:val="20"/>
          <w:szCs w:val="20"/>
          <w:lang w:val="ka-GE"/>
        </w:rPr>
        <w:t xml:space="preserve"> - საჭირო ეტაპებისა და ვალიდაციების </w:t>
      </w:r>
      <w:r w:rsidR="00187F15">
        <w:rPr>
          <w:rFonts w:cstheme="minorHAnsi"/>
          <w:noProof/>
          <w:sz w:val="20"/>
          <w:szCs w:val="20"/>
          <w:lang w:val="ka-GE"/>
        </w:rPr>
        <w:t xml:space="preserve">კონფიგურაციის და </w:t>
      </w:r>
      <w:r w:rsidR="00B54E6A">
        <w:rPr>
          <w:rFonts w:cstheme="minorHAnsi"/>
          <w:noProof/>
          <w:sz w:val="20"/>
          <w:szCs w:val="20"/>
          <w:lang w:val="ka-GE"/>
        </w:rPr>
        <w:t>მართვის შესაძლებლობა</w:t>
      </w:r>
      <w:r w:rsidR="008E5783">
        <w:rPr>
          <w:rFonts w:cstheme="minorHAnsi"/>
          <w:noProof/>
          <w:sz w:val="20"/>
          <w:szCs w:val="20"/>
          <w:lang w:val="ka-GE"/>
        </w:rPr>
        <w:t xml:space="preserve">; განაცხადების გარე არხებიდან მიღების შესაძლებლობა; </w:t>
      </w:r>
      <w:r w:rsidR="008D57C2" w:rsidRPr="003050D7">
        <w:rPr>
          <w:rFonts w:cstheme="minorHAnsi"/>
          <w:noProof/>
          <w:sz w:val="20"/>
          <w:szCs w:val="20"/>
          <w:lang w:val="ka-GE"/>
        </w:rPr>
        <w:t>ლიზინგის გაცემების ავტომატური დამტკიცებების შესაძლებლობა</w:t>
      </w:r>
      <w:r w:rsidR="008D57C2">
        <w:rPr>
          <w:rFonts w:cstheme="minorHAnsi"/>
          <w:noProof/>
          <w:sz w:val="20"/>
          <w:szCs w:val="20"/>
          <w:lang w:val="ka-GE"/>
        </w:rPr>
        <w:t xml:space="preserve"> (წინასწარ გაწერილი წინაპირობებით და პირობებით);</w:t>
      </w:r>
      <w:r w:rsidR="008D57C2" w:rsidRPr="003050D7">
        <w:rPr>
          <w:rFonts w:cstheme="minorHAnsi"/>
          <w:noProof/>
          <w:sz w:val="20"/>
          <w:szCs w:val="20"/>
          <w:lang w:val="ka-GE"/>
        </w:rPr>
        <w:t xml:space="preserve"> კლიენტის ვერიფიკაციის და თანხმობის შემდეგ კრედიტინფოს რეპორტის </w:t>
      </w:r>
      <w:r w:rsidR="008D57C2">
        <w:rPr>
          <w:rFonts w:cstheme="minorHAnsi"/>
          <w:noProof/>
          <w:sz w:val="20"/>
          <w:szCs w:val="20"/>
          <w:lang w:val="ka-GE"/>
        </w:rPr>
        <w:lastRenderedPageBreak/>
        <w:t>გენერირების შესაძლებლობა;</w:t>
      </w:r>
      <w:r w:rsidR="00B54E6A">
        <w:rPr>
          <w:rFonts w:cstheme="minorHAnsi"/>
          <w:noProof/>
          <w:sz w:val="20"/>
          <w:szCs w:val="20"/>
          <w:lang w:val="ka-GE"/>
        </w:rPr>
        <w:t xml:space="preserve"> პროექტის დამტკიცებისთვის საჭირო დოკუმენტაციის ატვირთვის/მიბმის შესაძლებლობა (განაცხადი</w:t>
      </w:r>
      <w:r w:rsidR="00834F12">
        <w:rPr>
          <w:rFonts w:cstheme="minorHAnsi"/>
          <w:noProof/>
          <w:sz w:val="20"/>
          <w:szCs w:val="20"/>
          <w:lang w:val="ka-GE"/>
        </w:rPr>
        <w:t>, ფინანსები</w:t>
      </w:r>
      <w:r w:rsidR="00B54E6A">
        <w:rPr>
          <w:rFonts w:cstheme="minorHAnsi"/>
          <w:noProof/>
          <w:sz w:val="20"/>
          <w:szCs w:val="20"/>
          <w:lang w:val="ka-GE"/>
        </w:rPr>
        <w:t>);</w:t>
      </w:r>
      <w:r w:rsidR="008D57C2">
        <w:rPr>
          <w:rFonts w:cstheme="minorHAnsi"/>
          <w:noProof/>
          <w:sz w:val="20"/>
          <w:szCs w:val="20"/>
          <w:lang w:val="ka-GE"/>
        </w:rPr>
        <w:t xml:space="preserve"> </w:t>
      </w:r>
      <w:r w:rsidR="00655908" w:rsidRPr="003050D7">
        <w:rPr>
          <w:rFonts w:cstheme="minorHAnsi"/>
          <w:noProof/>
          <w:sz w:val="20"/>
          <w:szCs w:val="20"/>
          <w:lang w:val="ka-GE"/>
        </w:rPr>
        <w:t xml:space="preserve">ეროვნული ბანკის რეგულაციების სრულყოფილად </w:t>
      </w:r>
      <w:r w:rsidR="00655908" w:rsidRPr="007017EC">
        <w:rPr>
          <w:rFonts w:cstheme="minorHAnsi"/>
          <w:noProof/>
          <w:sz w:val="20"/>
          <w:szCs w:val="20"/>
          <w:lang w:val="ka-GE"/>
        </w:rPr>
        <w:t>ასახვ</w:t>
      </w:r>
      <w:r w:rsidR="007017EC">
        <w:rPr>
          <w:rFonts w:cstheme="minorHAnsi"/>
          <w:noProof/>
          <w:sz w:val="20"/>
          <w:szCs w:val="20"/>
          <w:lang w:val="ka-GE"/>
        </w:rPr>
        <w:t>ის შესაძლებლობა</w:t>
      </w:r>
      <w:r w:rsidR="00655908" w:rsidRPr="003050D7">
        <w:rPr>
          <w:rFonts w:cstheme="minorHAnsi"/>
          <w:noProof/>
          <w:sz w:val="20"/>
          <w:szCs w:val="20"/>
          <w:lang w:val="ka-GE"/>
        </w:rPr>
        <w:t xml:space="preserve"> გაცემების და რესტრუქტურიზაციის პროცესებში (მაგ. 200 000 ლარიანი ვალიდაცია ეროვნულ ვალუტაში ლიზინგის გაცემისას, ეფექტური წლიური სარგებლის შეზღუდვა და ა.შ.)</w:t>
      </w:r>
    </w:p>
    <w:p w14:paraId="7EFAD42D" w14:textId="1341B3F0" w:rsidR="008A7F79" w:rsidRPr="007D6D35" w:rsidRDefault="00185BD4" w:rsidP="0074567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185BD4">
        <w:rPr>
          <w:rFonts w:cstheme="minorHAnsi"/>
          <w:noProof/>
          <w:sz w:val="20"/>
          <w:szCs w:val="20"/>
          <w:lang w:val="ka-GE"/>
        </w:rPr>
        <w:t xml:space="preserve">ფინანსური და საოპერაციო </w:t>
      </w:r>
      <w:r w:rsidR="00385075" w:rsidRPr="00185BD4">
        <w:rPr>
          <w:rFonts w:cstheme="minorHAnsi"/>
          <w:noProof/>
          <w:sz w:val="20"/>
          <w:szCs w:val="20"/>
          <w:lang w:val="ka-GE"/>
        </w:rPr>
        <w:t>ლიზინგის გრაფიკის კალკულაცია</w:t>
      </w:r>
      <w:r w:rsidRPr="00185BD4">
        <w:rPr>
          <w:rFonts w:cstheme="minorHAnsi"/>
          <w:noProof/>
          <w:sz w:val="20"/>
          <w:szCs w:val="20"/>
          <w:lang w:val="ka-GE"/>
        </w:rPr>
        <w:t xml:space="preserve">; </w:t>
      </w:r>
      <w:r w:rsidR="008E5783" w:rsidRPr="00185BD4">
        <w:rPr>
          <w:rFonts w:cstheme="minorHAnsi"/>
          <w:noProof/>
          <w:sz w:val="20"/>
          <w:szCs w:val="20"/>
          <w:lang w:val="ka-GE"/>
        </w:rPr>
        <w:t>არსებული გრაფიკების რესტრუქტურიზაციის (ცვლილება, მოშლა, აქტივის ჩანაცვლება, წინსწრებით დაფარვა, დავალიანების გაძირება, გამოსყიდვა, უფლებამონაცვლეობა, შეწყვეტა) პროცესის, საჭირო ეტაპების</w:t>
      </w:r>
      <w:r w:rsidRPr="00185BD4">
        <w:rPr>
          <w:rFonts w:cstheme="minorHAnsi"/>
          <w:noProof/>
          <w:sz w:val="20"/>
          <w:szCs w:val="20"/>
          <w:lang w:val="ka-GE"/>
        </w:rPr>
        <w:t>ა და</w:t>
      </w:r>
      <w:r w:rsidR="008E5783" w:rsidRPr="00185BD4">
        <w:rPr>
          <w:rFonts w:cstheme="minorHAnsi"/>
          <w:noProof/>
          <w:sz w:val="20"/>
          <w:szCs w:val="20"/>
          <w:lang w:val="ka-GE"/>
        </w:rPr>
        <w:t xml:space="preserve"> ვალიდაციების </w:t>
      </w:r>
      <w:r w:rsidRPr="00185BD4">
        <w:rPr>
          <w:rFonts w:cstheme="minorHAnsi"/>
          <w:noProof/>
          <w:sz w:val="20"/>
          <w:szCs w:val="20"/>
          <w:lang w:val="ka-GE"/>
        </w:rPr>
        <w:t xml:space="preserve">მართვის შესაძლებლობა; </w:t>
      </w:r>
      <w:r w:rsidR="008A7F79" w:rsidRPr="00185BD4">
        <w:rPr>
          <w:rFonts w:cstheme="minorHAnsi"/>
          <w:noProof/>
          <w:sz w:val="20"/>
          <w:szCs w:val="20"/>
          <w:lang w:val="ka-GE"/>
        </w:rPr>
        <w:t>არასტანდარტული გრაფიკების აგების შესაძლებლობა (</w:t>
      </w:r>
      <w:r w:rsidRPr="00185BD4">
        <w:rPr>
          <w:rFonts w:cstheme="minorHAnsi"/>
          <w:noProof/>
          <w:sz w:val="20"/>
          <w:szCs w:val="20"/>
          <w:lang w:val="ka-GE"/>
        </w:rPr>
        <w:t xml:space="preserve">საშეღავათო: </w:t>
      </w:r>
      <w:r w:rsidR="008A7F79" w:rsidRPr="00185BD4">
        <w:rPr>
          <w:rFonts w:cstheme="minorHAnsi"/>
          <w:noProof/>
          <w:sz w:val="20"/>
          <w:szCs w:val="20"/>
          <w:lang w:val="ka-GE"/>
        </w:rPr>
        <w:t>მხოლოდ სარგებელი, ფიქსირებული</w:t>
      </w:r>
      <w:r w:rsidRPr="00185BD4">
        <w:rPr>
          <w:rFonts w:cstheme="minorHAnsi"/>
          <w:noProof/>
          <w:sz w:val="20"/>
          <w:szCs w:val="20"/>
          <w:lang w:val="ka-GE"/>
        </w:rPr>
        <w:t xml:space="preserve"> გადახდის ჩასმა</w:t>
      </w:r>
      <w:r w:rsidR="008A7F79" w:rsidRPr="00185BD4">
        <w:rPr>
          <w:rFonts w:cstheme="minorHAnsi"/>
          <w:noProof/>
          <w:sz w:val="20"/>
          <w:szCs w:val="20"/>
          <w:lang w:val="ka-GE"/>
        </w:rPr>
        <w:t>, მომსახურებ</w:t>
      </w:r>
      <w:r w:rsidRPr="00185BD4">
        <w:rPr>
          <w:rFonts w:cstheme="minorHAnsi"/>
          <w:noProof/>
          <w:sz w:val="20"/>
          <w:szCs w:val="20"/>
          <w:lang w:val="ka-GE"/>
        </w:rPr>
        <w:t>ის საკომისიოების ჩასმა</w:t>
      </w:r>
      <w:r w:rsidR="008A7F79" w:rsidRPr="00185BD4">
        <w:rPr>
          <w:rFonts w:cstheme="minorHAnsi"/>
          <w:noProof/>
          <w:sz w:val="20"/>
          <w:szCs w:val="20"/>
          <w:lang w:val="ka-GE"/>
        </w:rPr>
        <w:t xml:space="preserve">, </w:t>
      </w:r>
      <w:r w:rsidRPr="00185BD4">
        <w:rPr>
          <w:rFonts w:cstheme="minorHAnsi"/>
          <w:noProof/>
          <w:sz w:val="20"/>
          <w:szCs w:val="20"/>
          <w:lang w:val="ka-GE"/>
        </w:rPr>
        <w:t>სეზონურობა</w:t>
      </w:r>
      <w:r w:rsidR="008A7F79" w:rsidRPr="00185BD4">
        <w:rPr>
          <w:rFonts w:cstheme="minorHAnsi"/>
          <w:noProof/>
          <w:sz w:val="20"/>
          <w:szCs w:val="20"/>
          <w:lang w:val="ka-GE"/>
        </w:rPr>
        <w:t xml:space="preserve"> და ა.შ.)</w:t>
      </w:r>
      <w:r w:rsidRPr="00185BD4">
        <w:rPr>
          <w:rFonts w:cstheme="minorHAnsi"/>
          <w:noProof/>
          <w:sz w:val="20"/>
          <w:szCs w:val="20"/>
          <w:lang w:val="ka-GE"/>
        </w:rPr>
        <w:t xml:space="preserve">; </w:t>
      </w:r>
      <w:r w:rsidR="008A7F79" w:rsidRPr="00185BD4">
        <w:rPr>
          <w:rFonts w:cstheme="minorHAnsi"/>
          <w:noProof/>
          <w:sz w:val="20"/>
          <w:szCs w:val="20"/>
          <w:lang w:val="ka-GE"/>
        </w:rPr>
        <w:t>სტანდარტული და არასტანდარტული გრაფიკის აგებისას დასვენების დღეების გათვალისწინება</w:t>
      </w:r>
      <w:r w:rsidR="008D57C2">
        <w:rPr>
          <w:rFonts w:cstheme="minorHAnsi"/>
          <w:noProof/>
          <w:sz w:val="20"/>
          <w:szCs w:val="20"/>
          <w:lang w:val="ka-GE"/>
        </w:rPr>
        <w:t xml:space="preserve">; </w:t>
      </w:r>
      <w:r w:rsidR="008D57C2">
        <w:rPr>
          <w:rFonts w:eastAsia="Times New Roman" w:cstheme="minorHAnsi"/>
          <w:noProof/>
          <w:color w:val="222222"/>
          <w:sz w:val="20"/>
          <w:szCs w:val="20"/>
          <w:lang w:val="ka-GE"/>
        </w:rPr>
        <w:t>მრავალაქტივინი ლიზინგის შემთხვევაში აქტივების ეტაპობრივად მოწოდების და ინდივიდალური გრაფიკების გენერირების შესაძლებლობა;</w:t>
      </w:r>
      <w:r w:rsidR="007D6D35">
        <w:rPr>
          <w:rFonts w:eastAsia="Times New Roman" w:cstheme="minorHAnsi"/>
          <w:noProof/>
          <w:color w:val="222222"/>
          <w:sz w:val="20"/>
          <w:szCs w:val="20"/>
          <w:lang w:val="ka-GE"/>
        </w:rPr>
        <w:t xml:space="preserve"> </w:t>
      </w:r>
      <w:r w:rsidR="007D6D35" w:rsidRPr="003050D7">
        <w:rPr>
          <w:rFonts w:cstheme="minorHAnsi"/>
          <w:noProof/>
          <w:sz w:val="20"/>
          <w:szCs w:val="20"/>
          <w:lang w:val="ka-GE"/>
        </w:rPr>
        <w:t xml:space="preserve">ვალუტის კურსების და რეფინანსირების განაკვეთის სისტემაში </w:t>
      </w:r>
      <w:r w:rsidR="009E75FB">
        <w:rPr>
          <w:rFonts w:cstheme="minorHAnsi"/>
          <w:noProof/>
          <w:sz w:val="20"/>
          <w:szCs w:val="20"/>
          <w:lang w:val="ka-GE"/>
        </w:rPr>
        <w:t>ასახვა და</w:t>
      </w:r>
      <w:r w:rsidR="007D6D35" w:rsidRPr="003050D7">
        <w:rPr>
          <w:rFonts w:cstheme="minorHAnsi"/>
          <w:noProof/>
          <w:sz w:val="20"/>
          <w:szCs w:val="20"/>
          <w:lang w:val="ka-GE"/>
        </w:rPr>
        <w:t xml:space="preserve"> გათვალისწინება ახალი ლიზინგის გაცემისას</w:t>
      </w:r>
      <w:r w:rsidR="009E75FB">
        <w:rPr>
          <w:rFonts w:cstheme="minorHAnsi"/>
          <w:noProof/>
          <w:sz w:val="20"/>
          <w:szCs w:val="20"/>
          <w:lang w:val="ka-GE"/>
        </w:rPr>
        <w:t xml:space="preserve"> და</w:t>
      </w:r>
      <w:r w:rsidR="007D6D35" w:rsidRPr="003050D7">
        <w:rPr>
          <w:rFonts w:cstheme="minorHAnsi"/>
          <w:noProof/>
          <w:sz w:val="20"/>
          <w:szCs w:val="20"/>
          <w:lang w:val="ka-GE"/>
        </w:rPr>
        <w:t xml:space="preserve"> არსებული გრაფიკის რესტრუქტურიზაციის დროს</w:t>
      </w:r>
      <w:r w:rsidR="009E75FB">
        <w:rPr>
          <w:rFonts w:cstheme="minorHAnsi"/>
          <w:noProof/>
          <w:sz w:val="20"/>
          <w:szCs w:val="20"/>
          <w:lang w:val="ka-GE"/>
        </w:rPr>
        <w:t xml:space="preserve">; </w:t>
      </w:r>
      <w:r w:rsidR="007D6D35" w:rsidRPr="003050D7">
        <w:rPr>
          <w:rFonts w:cstheme="minorHAnsi"/>
          <w:noProof/>
          <w:sz w:val="20"/>
          <w:szCs w:val="20"/>
          <w:lang w:val="ka-GE"/>
        </w:rPr>
        <w:t>რეფინანსირების განაკვეთის შესაბამისად აქტიური ხელშეკრულებების გრაფიკების ავტომატური ცვლილება</w:t>
      </w:r>
      <w:r w:rsidR="007D6D35">
        <w:rPr>
          <w:rFonts w:cstheme="minorHAnsi"/>
          <w:noProof/>
          <w:sz w:val="20"/>
          <w:szCs w:val="20"/>
          <w:lang w:val="ka-GE"/>
        </w:rPr>
        <w:t>;</w:t>
      </w:r>
    </w:p>
    <w:p w14:paraId="50288973" w14:textId="1EC23520" w:rsidR="008A7F79" w:rsidRPr="009E75FB" w:rsidRDefault="00385075" w:rsidP="0074567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9E75FB">
        <w:rPr>
          <w:rFonts w:cstheme="minorHAnsi"/>
          <w:noProof/>
          <w:sz w:val="20"/>
          <w:szCs w:val="20"/>
          <w:lang w:val="ka-GE"/>
        </w:rPr>
        <w:t xml:space="preserve">დოკუმენტაციის და ხელშეკრულებების მართვა: </w:t>
      </w:r>
      <w:r w:rsidR="008A7F79" w:rsidRPr="009E75FB">
        <w:rPr>
          <w:rFonts w:cstheme="minorHAnsi"/>
          <w:noProof/>
          <w:sz w:val="20"/>
          <w:szCs w:val="20"/>
          <w:lang w:val="ka-GE"/>
        </w:rPr>
        <w:t>ლიზინგთან დაკავშირებული ხელშეკრულებების (გენერალური, ლიზინგი, ნასყიდობა, თავდებობა, იპოთეკა-გირავნობა, მორიგება</w:t>
      </w:r>
      <w:r w:rsidR="009E75FB">
        <w:rPr>
          <w:rFonts w:cstheme="minorHAnsi"/>
          <w:noProof/>
          <w:sz w:val="20"/>
          <w:szCs w:val="20"/>
          <w:lang w:val="ka-GE"/>
        </w:rPr>
        <w:t>, სხვა ხელშეკრულებები ან ფინანსური დოკუმენტები</w:t>
      </w:r>
      <w:r w:rsidR="008A7F79" w:rsidRPr="009E75FB">
        <w:rPr>
          <w:rFonts w:cstheme="minorHAnsi"/>
          <w:noProof/>
          <w:sz w:val="20"/>
          <w:szCs w:val="20"/>
          <w:lang w:val="ka-GE"/>
        </w:rPr>
        <w:t>) შექმნის და ხელმოწერის შესაძლებლობა, შაბლონების კონფიგურაცია და ხელმოწერილი ფაილების სისტემაში ატვირთვ</w:t>
      </w:r>
      <w:r w:rsidR="009E75FB" w:rsidRPr="009E75FB">
        <w:rPr>
          <w:rFonts w:cstheme="minorHAnsi"/>
          <w:noProof/>
          <w:sz w:val="20"/>
          <w:szCs w:val="20"/>
          <w:lang w:val="ka-GE"/>
        </w:rPr>
        <w:t xml:space="preserve">ის/შენახვის შესაძლებლობა; </w:t>
      </w:r>
      <w:r w:rsidR="008A7F79" w:rsidRPr="009E75FB">
        <w:rPr>
          <w:rFonts w:cstheme="minorHAnsi"/>
          <w:noProof/>
          <w:sz w:val="20"/>
          <w:szCs w:val="20"/>
          <w:lang w:val="ka-GE"/>
        </w:rPr>
        <w:t>კლიენტის მოსატანი საბუთების / დოკუმენტაციის მონიტორინგის ფუნქციონალი</w:t>
      </w:r>
    </w:p>
    <w:p w14:paraId="7FAC6FFB" w14:textId="68FD9312" w:rsidR="007D6D35" w:rsidRPr="003050D7" w:rsidRDefault="00385075" w:rsidP="0074567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8A7F79">
        <w:rPr>
          <w:rFonts w:cstheme="minorHAnsi"/>
          <w:noProof/>
          <w:sz w:val="20"/>
          <w:szCs w:val="20"/>
          <w:lang w:val="ka-GE"/>
        </w:rPr>
        <w:t>ლიზინგის ფინანსური მართვა:</w:t>
      </w:r>
      <w:r w:rsidR="008A7F79" w:rsidRPr="008A7F79">
        <w:rPr>
          <w:rFonts w:cstheme="minorHAnsi"/>
          <w:noProof/>
          <w:sz w:val="20"/>
          <w:szCs w:val="20"/>
          <w:lang w:val="ka-GE"/>
        </w:rPr>
        <w:t xml:space="preserve"> მომწოდებელთან და კლიენტთან მიღება-ჩაბარებების ფინანსური დოკუმენტების გატარების შესაძლებლობა</w:t>
      </w:r>
      <w:r w:rsidR="009E75FB">
        <w:rPr>
          <w:rFonts w:cstheme="minorHAnsi"/>
          <w:noProof/>
          <w:sz w:val="20"/>
          <w:szCs w:val="20"/>
          <w:lang w:val="ka-GE"/>
        </w:rPr>
        <w:t>;</w:t>
      </w:r>
      <w:r w:rsidR="008A7F79" w:rsidRPr="008A7F79">
        <w:rPr>
          <w:rFonts w:cstheme="minorHAnsi"/>
          <w:noProof/>
          <w:sz w:val="20"/>
          <w:szCs w:val="20"/>
          <w:lang w:val="ka-GE"/>
        </w:rPr>
        <w:t xml:space="preserve"> ყოველდღიური დარიცხვები</w:t>
      </w:r>
      <w:r w:rsidR="009E75FB">
        <w:rPr>
          <w:rFonts w:cstheme="minorHAnsi"/>
          <w:noProof/>
          <w:sz w:val="20"/>
          <w:szCs w:val="20"/>
          <w:lang w:val="ka-GE"/>
        </w:rPr>
        <w:t>;</w:t>
      </w:r>
      <w:r w:rsidR="008A7F79">
        <w:rPr>
          <w:rFonts w:cstheme="minorHAnsi"/>
          <w:noProof/>
          <w:sz w:val="20"/>
          <w:szCs w:val="20"/>
          <w:lang w:val="ka-GE"/>
        </w:rPr>
        <w:t xml:space="preserve"> </w:t>
      </w:r>
      <w:r w:rsidR="007E08CA" w:rsidRPr="003050D7">
        <w:rPr>
          <w:rFonts w:cstheme="minorHAnsi"/>
          <w:noProof/>
          <w:sz w:val="20"/>
          <w:szCs w:val="20"/>
          <w:lang w:val="ka-GE"/>
        </w:rPr>
        <w:t>კლიენტის მიერ ჩარიცხული თანხის პრიორიტეტების მიხედვით გადანაწილება</w:t>
      </w:r>
      <w:r w:rsidR="009E75FB">
        <w:rPr>
          <w:rFonts w:cstheme="minorHAnsi"/>
          <w:noProof/>
          <w:sz w:val="20"/>
          <w:szCs w:val="20"/>
          <w:lang w:val="ka-GE"/>
        </w:rPr>
        <w:t>;</w:t>
      </w:r>
      <w:r w:rsidR="007D6D35">
        <w:rPr>
          <w:rFonts w:cstheme="minorHAnsi"/>
          <w:noProof/>
          <w:sz w:val="20"/>
          <w:szCs w:val="20"/>
          <w:lang w:val="ka-GE"/>
        </w:rPr>
        <w:t xml:space="preserve"> </w:t>
      </w:r>
      <w:r w:rsidR="007D6D35" w:rsidRPr="003050D7">
        <w:rPr>
          <w:rFonts w:cstheme="minorHAnsi"/>
          <w:noProof/>
          <w:sz w:val="20"/>
          <w:szCs w:val="20"/>
          <w:lang w:val="ka-GE"/>
        </w:rPr>
        <w:t>მომწოდებლებთან ტრანშების გადარიცხვის კონტროლის სისტემა</w:t>
      </w:r>
      <w:r w:rsidR="00FF340F">
        <w:rPr>
          <w:rFonts w:cstheme="minorHAnsi"/>
          <w:noProof/>
          <w:sz w:val="20"/>
          <w:szCs w:val="20"/>
          <w:lang w:val="ka-GE"/>
        </w:rPr>
        <w:t xml:space="preserve"> ნასყიდობის ხელშეკრულების პირობების მიხედვით</w:t>
      </w:r>
      <w:r w:rsidR="009E75FB">
        <w:rPr>
          <w:rFonts w:cstheme="minorHAnsi"/>
          <w:noProof/>
          <w:sz w:val="20"/>
          <w:szCs w:val="20"/>
          <w:lang w:val="ka-GE"/>
        </w:rPr>
        <w:t>;</w:t>
      </w:r>
      <w:r w:rsidR="007D6D35" w:rsidRPr="003050D7">
        <w:rPr>
          <w:rFonts w:cstheme="minorHAnsi"/>
          <w:noProof/>
          <w:sz w:val="20"/>
          <w:szCs w:val="20"/>
          <w:lang w:val="ka-GE"/>
        </w:rPr>
        <w:t xml:space="preserve"> ვადაგადაცილებულ მოსაწოდებელ აქტივებზე და გადასარიცხ ტრანშებზე საურავების დაანგარიშება</w:t>
      </w:r>
      <w:r w:rsidR="00FF340F">
        <w:rPr>
          <w:rFonts w:cstheme="minorHAnsi"/>
          <w:noProof/>
          <w:sz w:val="20"/>
          <w:szCs w:val="20"/>
          <w:lang w:val="ka-GE"/>
        </w:rPr>
        <w:t>;</w:t>
      </w:r>
      <w:r w:rsidR="007D6D35">
        <w:rPr>
          <w:rFonts w:cstheme="minorHAnsi"/>
          <w:noProof/>
          <w:sz w:val="20"/>
          <w:szCs w:val="20"/>
          <w:lang w:val="ka-GE"/>
        </w:rPr>
        <w:t xml:space="preserve"> </w:t>
      </w:r>
      <w:r w:rsidR="007D6D35" w:rsidRPr="007D6D35">
        <w:rPr>
          <w:rFonts w:cstheme="minorHAnsi"/>
          <w:noProof/>
          <w:sz w:val="20"/>
          <w:szCs w:val="20"/>
          <w:lang w:val="ka-GE"/>
        </w:rPr>
        <w:t>კლიენტის ამონაწერი</w:t>
      </w:r>
      <w:r w:rsidR="00FF340F">
        <w:rPr>
          <w:rFonts w:cstheme="minorHAnsi"/>
          <w:noProof/>
          <w:sz w:val="20"/>
          <w:szCs w:val="20"/>
          <w:lang w:val="ka-GE"/>
        </w:rPr>
        <w:t>ს გენერირება</w:t>
      </w:r>
      <w:r w:rsidR="007D6D35" w:rsidRPr="007D6D35">
        <w:rPr>
          <w:rFonts w:cstheme="minorHAnsi"/>
          <w:noProof/>
          <w:sz w:val="20"/>
          <w:szCs w:val="20"/>
          <w:lang w:val="ka-GE"/>
        </w:rPr>
        <w:t>, დავალიანების და ავანსის შემადგენელი ფინანსური დოკუმენტების დეტალური თანრიგული ჩაშლით და დათვალიერების ფუნქციით</w:t>
      </w:r>
      <w:r w:rsidR="00FF340F">
        <w:rPr>
          <w:rFonts w:cstheme="minorHAnsi"/>
          <w:noProof/>
          <w:sz w:val="20"/>
          <w:szCs w:val="20"/>
          <w:lang w:val="ka-GE"/>
        </w:rPr>
        <w:t xml:space="preserve">; </w:t>
      </w:r>
      <w:r w:rsidR="007D6D35" w:rsidRPr="007D6D35">
        <w:rPr>
          <w:rFonts w:cstheme="minorHAnsi"/>
          <w:noProof/>
          <w:sz w:val="20"/>
          <w:szCs w:val="20"/>
          <w:lang w:val="ka-GE"/>
        </w:rPr>
        <w:t>ყოველდღიური ფინანსური გადაფასების გათვალისწინება</w:t>
      </w:r>
      <w:r w:rsidR="007D6D35">
        <w:rPr>
          <w:rFonts w:cstheme="minorHAnsi"/>
          <w:noProof/>
          <w:sz w:val="20"/>
          <w:szCs w:val="20"/>
          <w:lang w:val="ka-GE"/>
        </w:rPr>
        <w:t xml:space="preserve">; </w:t>
      </w:r>
      <w:r w:rsidR="007D6D35" w:rsidRPr="003050D7">
        <w:rPr>
          <w:rFonts w:cstheme="minorHAnsi"/>
          <w:noProof/>
          <w:sz w:val="20"/>
          <w:szCs w:val="20"/>
          <w:lang w:val="ka-GE"/>
        </w:rPr>
        <w:t>საბანკო ტრანზაქციების (ჩარიცხვა/გადარიცხვის) და ვალების კორექტირების (კლიენტის და მომწოდებლის დავალიანების/ავანსის კორექტირება, ურთიერთჩათვლა) სისტემაში ხელით დამატების და გატარების შესაძლებლობა</w:t>
      </w:r>
      <w:r w:rsidR="007D6D35">
        <w:rPr>
          <w:rFonts w:cstheme="minorHAnsi"/>
          <w:noProof/>
          <w:sz w:val="20"/>
          <w:szCs w:val="20"/>
          <w:lang w:val="ka-GE"/>
        </w:rPr>
        <w:t xml:space="preserve">; </w:t>
      </w:r>
      <w:r w:rsidR="007D6D35" w:rsidRPr="003050D7">
        <w:rPr>
          <w:rFonts w:cstheme="minorHAnsi"/>
          <w:noProof/>
          <w:sz w:val="20"/>
          <w:szCs w:val="20"/>
          <w:lang w:val="ka-GE"/>
        </w:rPr>
        <w:t>ბუღალტრული ანგარიშთა გეგმის და გატარებების წესების კონფიგურაცი</w:t>
      </w:r>
      <w:r w:rsidR="00FF340F">
        <w:rPr>
          <w:rFonts w:cstheme="minorHAnsi"/>
          <w:noProof/>
          <w:sz w:val="20"/>
          <w:szCs w:val="20"/>
          <w:lang w:val="ka-GE"/>
        </w:rPr>
        <w:t>ის შესაძლებლობა</w:t>
      </w:r>
      <w:r w:rsidR="007D6D35" w:rsidRPr="003050D7">
        <w:rPr>
          <w:rFonts w:cstheme="minorHAnsi"/>
          <w:noProof/>
          <w:sz w:val="20"/>
          <w:szCs w:val="20"/>
          <w:lang w:val="ka-GE"/>
        </w:rPr>
        <w:t xml:space="preserve"> სისტემის მომხმარებლის მიერ, გატარების ჟურნალის და ბრუნვითი უწყისის ნახვ</w:t>
      </w:r>
      <w:r w:rsidR="00FF340F">
        <w:rPr>
          <w:rFonts w:cstheme="minorHAnsi"/>
          <w:noProof/>
          <w:sz w:val="20"/>
          <w:szCs w:val="20"/>
          <w:lang w:val="ka-GE"/>
        </w:rPr>
        <w:t>ის</w:t>
      </w:r>
      <w:r w:rsidR="007D6D35" w:rsidRPr="003050D7">
        <w:rPr>
          <w:rFonts w:cstheme="minorHAnsi"/>
          <w:noProof/>
          <w:sz w:val="20"/>
          <w:szCs w:val="20"/>
          <w:lang w:val="ka-GE"/>
        </w:rPr>
        <w:t xml:space="preserve"> და ექსპორტი</w:t>
      </w:r>
      <w:r w:rsidR="00FF340F">
        <w:rPr>
          <w:rFonts w:cstheme="minorHAnsi"/>
          <w:noProof/>
          <w:sz w:val="20"/>
          <w:szCs w:val="20"/>
          <w:lang w:val="ka-GE"/>
        </w:rPr>
        <w:t>ს შესაძლებლობა</w:t>
      </w:r>
    </w:p>
    <w:p w14:paraId="54BD0422" w14:textId="0AFFBB38" w:rsidR="008A7F79" w:rsidRPr="007D6D35" w:rsidRDefault="007D6D35" w:rsidP="0074567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3050D7">
        <w:rPr>
          <w:rFonts w:cstheme="minorHAnsi"/>
          <w:noProof/>
          <w:sz w:val="20"/>
          <w:szCs w:val="20"/>
          <w:lang w:val="ka-GE"/>
        </w:rPr>
        <w:t xml:space="preserve">ფინანსური რეპორტინგის მოდული, ნებისმიერი დროითი განზომილებით </w:t>
      </w:r>
      <w:r w:rsidR="00FF340F">
        <w:rPr>
          <w:rFonts w:cstheme="minorHAnsi"/>
          <w:noProof/>
          <w:sz w:val="20"/>
          <w:szCs w:val="20"/>
          <w:lang w:val="ka-GE"/>
        </w:rPr>
        <w:t xml:space="preserve">სასურველი </w:t>
      </w:r>
      <w:r w:rsidRPr="003050D7">
        <w:rPr>
          <w:rFonts w:cstheme="minorHAnsi"/>
          <w:noProof/>
          <w:sz w:val="20"/>
          <w:szCs w:val="20"/>
          <w:lang w:val="ka-GE"/>
        </w:rPr>
        <w:t>რეპორტის გენერირების შესაძლებლობა</w:t>
      </w:r>
      <w:r>
        <w:rPr>
          <w:rFonts w:cstheme="minorHAnsi"/>
          <w:noProof/>
          <w:sz w:val="20"/>
          <w:szCs w:val="20"/>
          <w:lang w:val="ka-GE"/>
        </w:rPr>
        <w:t xml:space="preserve">; </w:t>
      </w:r>
      <w:r w:rsidRPr="007D6D35">
        <w:rPr>
          <w:rFonts w:cstheme="minorHAnsi"/>
          <w:noProof/>
          <w:sz w:val="20"/>
          <w:szCs w:val="20"/>
          <w:lang w:val="ka-GE"/>
        </w:rPr>
        <w:t>ფინანსური რეპორტინგის სრული კონფიგურაცი</w:t>
      </w:r>
      <w:r w:rsidR="00FF340F">
        <w:rPr>
          <w:rFonts w:cstheme="minorHAnsi"/>
          <w:noProof/>
          <w:sz w:val="20"/>
          <w:szCs w:val="20"/>
          <w:lang w:val="ka-GE"/>
        </w:rPr>
        <w:t>ის შესაძლებლობა</w:t>
      </w:r>
      <w:r w:rsidRPr="007D6D35">
        <w:rPr>
          <w:rFonts w:cstheme="minorHAnsi"/>
          <w:noProof/>
          <w:sz w:val="20"/>
          <w:szCs w:val="20"/>
          <w:lang w:val="ka-GE"/>
        </w:rPr>
        <w:t xml:space="preserve"> სისტემის მომხმარებლის მიერ</w:t>
      </w:r>
      <w:r w:rsidR="00FF340F">
        <w:rPr>
          <w:rFonts w:cstheme="minorHAnsi"/>
          <w:noProof/>
          <w:sz w:val="20"/>
          <w:szCs w:val="20"/>
          <w:lang w:val="ka-GE"/>
        </w:rPr>
        <w:t xml:space="preserve"> (ველები, პერიოდი, ა.შ)</w:t>
      </w:r>
      <w:r w:rsidRPr="007D6D35">
        <w:rPr>
          <w:rFonts w:cstheme="minorHAnsi"/>
          <w:noProof/>
          <w:sz w:val="20"/>
          <w:szCs w:val="20"/>
          <w:lang w:val="ka-GE"/>
        </w:rPr>
        <w:t>;</w:t>
      </w:r>
    </w:p>
    <w:p w14:paraId="78EB9B5B" w14:textId="25200F73" w:rsidR="008A7F79" w:rsidRPr="008A7F79" w:rsidRDefault="008A7F79" w:rsidP="0074567B">
      <w:pPr>
        <w:pStyle w:val="ListParagraph"/>
        <w:numPr>
          <w:ilvl w:val="1"/>
          <w:numId w:val="3"/>
        </w:numPr>
        <w:jc w:val="both"/>
        <w:rPr>
          <w:rFonts w:cstheme="minorHAnsi"/>
          <w:noProof/>
          <w:sz w:val="20"/>
          <w:szCs w:val="20"/>
          <w:lang w:val="ka-GE"/>
        </w:rPr>
      </w:pPr>
      <w:r w:rsidRPr="008A7F79">
        <w:rPr>
          <w:rFonts w:cstheme="minorHAnsi"/>
          <w:noProof/>
          <w:sz w:val="20"/>
          <w:szCs w:val="20"/>
          <w:lang w:val="ka-GE"/>
        </w:rPr>
        <w:t xml:space="preserve">ვადაგადაცილებების მართვა: </w:t>
      </w:r>
      <w:r w:rsidR="00B559E7">
        <w:rPr>
          <w:rFonts w:cstheme="minorHAnsi"/>
          <w:noProof/>
          <w:sz w:val="20"/>
          <w:szCs w:val="20"/>
          <w:lang w:val="ka-GE"/>
        </w:rPr>
        <w:t xml:space="preserve">არსებულ პორტფელში ვადაგადაცილებული კლიენტების, ვადაგადაცილების ოდენობის, დარჩენილი ძირის და სხვა მონაცემების ნახვის და </w:t>
      </w:r>
      <w:r w:rsidR="00B559E7">
        <w:rPr>
          <w:rFonts w:cstheme="minorHAnsi"/>
          <w:noProof/>
          <w:sz w:val="20"/>
          <w:szCs w:val="20"/>
          <w:lang w:val="ka-GE"/>
        </w:rPr>
        <w:lastRenderedPageBreak/>
        <w:t xml:space="preserve">რეპორტის ჩამოტვირთვის შესაძლებლობა; </w:t>
      </w:r>
      <w:r w:rsidRPr="008A7F79">
        <w:rPr>
          <w:rFonts w:cstheme="minorHAnsi"/>
          <w:noProof/>
          <w:sz w:val="20"/>
          <w:szCs w:val="20"/>
          <w:lang w:val="ka-GE"/>
        </w:rPr>
        <w:t>აქტიურ ლიზინგის ხელშეკრულებებზე არსებული დავალიანების კორექტირების და საურავების პატიები</w:t>
      </w:r>
      <w:r w:rsidR="00B559E7">
        <w:rPr>
          <w:rFonts w:cstheme="minorHAnsi"/>
          <w:noProof/>
          <w:sz w:val="20"/>
          <w:szCs w:val="20"/>
          <w:lang w:val="ka-GE"/>
        </w:rPr>
        <w:t>სთვის საჭირო ოქმების გენერირება;</w:t>
      </w:r>
    </w:p>
    <w:p w14:paraId="79D71256" w14:textId="1CC0B129" w:rsidR="00BD0755" w:rsidRPr="007D4ADC" w:rsidRDefault="00385075" w:rsidP="007D4ADC">
      <w:pPr>
        <w:pStyle w:val="ListParagraph"/>
        <w:numPr>
          <w:ilvl w:val="1"/>
          <w:numId w:val="3"/>
        </w:numPr>
        <w:jc w:val="both"/>
        <w:rPr>
          <w:rFonts w:eastAsia="Times New Roman" w:cstheme="minorHAnsi"/>
          <w:noProof/>
          <w:color w:val="222222"/>
          <w:sz w:val="20"/>
          <w:szCs w:val="20"/>
          <w:lang w:val="ka-GE"/>
        </w:rPr>
      </w:pPr>
      <w:r>
        <w:rPr>
          <w:rFonts w:cstheme="minorHAnsi"/>
          <w:noProof/>
          <w:sz w:val="20"/>
          <w:szCs w:val="20"/>
          <w:lang w:val="ka-GE"/>
        </w:rPr>
        <w:t>შეწყვეტა და შეწყვეტის შემდგომი პროცესის მართვა</w:t>
      </w:r>
      <w:r w:rsidR="008A7F79">
        <w:rPr>
          <w:rFonts w:cstheme="minorHAnsi"/>
          <w:noProof/>
          <w:sz w:val="20"/>
          <w:szCs w:val="20"/>
          <w:lang w:val="ka-GE"/>
        </w:rPr>
        <w:t xml:space="preserve">: </w:t>
      </w:r>
      <w:r w:rsidR="008A7F79" w:rsidRPr="003050D7">
        <w:rPr>
          <w:rFonts w:cstheme="minorHAnsi"/>
          <w:noProof/>
          <w:sz w:val="20"/>
          <w:szCs w:val="20"/>
          <w:lang w:val="ka-GE"/>
        </w:rPr>
        <w:t>რემარკეტინგი, რელიზინგი, აქტივის ჩამოწერა, მორიგება, შეწყვეტის შედეგად გამოცხადებული დავალიანების, აქტივის ღირებულებების კორექტირების და რემარკეტინგის პროცესების ჯგუფურად მართვის ოქმები</w:t>
      </w:r>
    </w:p>
    <w:sectPr w:rsidR="00BD0755" w:rsidRPr="007D4A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76B6" w14:textId="77777777" w:rsidR="004E0591" w:rsidRDefault="004E0591" w:rsidP="004D6624">
      <w:pPr>
        <w:spacing w:after="0" w:line="240" w:lineRule="auto"/>
      </w:pPr>
      <w:r>
        <w:separator/>
      </w:r>
    </w:p>
  </w:endnote>
  <w:endnote w:type="continuationSeparator" w:id="0">
    <w:p w14:paraId="00D17E18" w14:textId="77777777" w:rsidR="004E0591" w:rsidRDefault="004E0591" w:rsidP="004D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AF30" w14:textId="77777777" w:rsidR="004E0591" w:rsidRDefault="004E0591" w:rsidP="004D6624">
      <w:pPr>
        <w:spacing w:after="0" w:line="240" w:lineRule="auto"/>
      </w:pPr>
      <w:r>
        <w:separator/>
      </w:r>
    </w:p>
  </w:footnote>
  <w:footnote w:type="continuationSeparator" w:id="0">
    <w:p w14:paraId="344C6866" w14:textId="77777777" w:rsidR="004E0591" w:rsidRDefault="004E0591" w:rsidP="004D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869" w14:textId="39D86794" w:rsidR="004D6624" w:rsidRDefault="004D6624">
    <w:pPr>
      <w:pStyle w:val="Header"/>
    </w:pPr>
    <w:bookmarkStart w:id="0" w:name="_Hlk109641069"/>
    <w:r>
      <w:rPr>
        <w:rFonts w:ascii="Sylfaen" w:hAnsi="Sylfaen"/>
        <w:b/>
        <w:noProof/>
        <w:sz w:val="20"/>
        <w:lang w:val="ka-GE"/>
      </w:rPr>
      <w:drawing>
        <wp:inline distT="0" distB="0" distL="0" distR="0" wp14:anchorId="0DDCAFA9" wp14:editId="7481FD1E">
          <wp:extent cx="1774190" cy="5435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0F800F1C" w14:textId="3ED06011" w:rsidR="004D6624" w:rsidRDefault="004D6624">
    <w:pPr>
      <w:pStyle w:val="Header"/>
    </w:pPr>
  </w:p>
  <w:p w14:paraId="5B023D2C" w14:textId="7FF1A862" w:rsidR="004D6624" w:rsidRDefault="004D6624">
    <w:pPr>
      <w:pStyle w:val="Header"/>
    </w:pPr>
  </w:p>
  <w:p w14:paraId="74D5AAEA" w14:textId="440AC1D4" w:rsidR="004D6624" w:rsidRDefault="004D6624">
    <w:pPr>
      <w:pStyle w:val="Header"/>
    </w:pPr>
  </w:p>
  <w:p w14:paraId="6BBAAE5D" w14:textId="73C02982" w:rsidR="004D6624" w:rsidRDefault="004D6624">
    <w:pPr>
      <w:pStyle w:val="Header"/>
    </w:pPr>
  </w:p>
  <w:p w14:paraId="2E5CE0C3" w14:textId="77777777" w:rsidR="004D6624" w:rsidRDefault="004D6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96B"/>
    <w:multiLevelType w:val="multilevel"/>
    <w:tmpl w:val="D3B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9651B"/>
    <w:multiLevelType w:val="multilevel"/>
    <w:tmpl w:val="0C3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60082"/>
    <w:multiLevelType w:val="hybridMultilevel"/>
    <w:tmpl w:val="AF980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4335630">
    <w:abstractNumId w:val="2"/>
  </w:num>
  <w:num w:numId="2" w16cid:durableId="1445154743">
    <w:abstractNumId w:val="1"/>
  </w:num>
  <w:num w:numId="3" w16cid:durableId="84791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06"/>
    <w:rsid w:val="0004423D"/>
    <w:rsid w:val="00081092"/>
    <w:rsid w:val="000922F4"/>
    <w:rsid w:val="000A2C63"/>
    <w:rsid w:val="000C2020"/>
    <w:rsid w:val="00114F1A"/>
    <w:rsid w:val="00185BD4"/>
    <w:rsid w:val="00187F15"/>
    <w:rsid w:val="00194602"/>
    <w:rsid w:val="001C0C44"/>
    <w:rsid w:val="00201FCD"/>
    <w:rsid w:val="0021149A"/>
    <w:rsid w:val="00252FC5"/>
    <w:rsid w:val="00275E25"/>
    <w:rsid w:val="002E1A22"/>
    <w:rsid w:val="002F0BDE"/>
    <w:rsid w:val="0030165F"/>
    <w:rsid w:val="003050D7"/>
    <w:rsid w:val="00317BDF"/>
    <w:rsid w:val="00355A2F"/>
    <w:rsid w:val="00385075"/>
    <w:rsid w:val="00393509"/>
    <w:rsid w:val="003D7020"/>
    <w:rsid w:val="00401325"/>
    <w:rsid w:val="00454DA5"/>
    <w:rsid w:val="004B59FD"/>
    <w:rsid w:val="004C002F"/>
    <w:rsid w:val="004D6624"/>
    <w:rsid w:val="004E0591"/>
    <w:rsid w:val="00505E5B"/>
    <w:rsid w:val="00644420"/>
    <w:rsid w:val="00655908"/>
    <w:rsid w:val="00664797"/>
    <w:rsid w:val="006B19BE"/>
    <w:rsid w:val="007017EC"/>
    <w:rsid w:val="0074365F"/>
    <w:rsid w:val="0074567B"/>
    <w:rsid w:val="007558B6"/>
    <w:rsid w:val="00760E97"/>
    <w:rsid w:val="00763C92"/>
    <w:rsid w:val="007A4084"/>
    <w:rsid w:val="007D47C0"/>
    <w:rsid w:val="007D4ADC"/>
    <w:rsid w:val="007D6D35"/>
    <w:rsid w:val="007E08CA"/>
    <w:rsid w:val="007F3F06"/>
    <w:rsid w:val="00834F12"/>
    <w:rsid w:val="00845C54"/>
    <w:rsid w:val="0088574E"/>
    <w:rsid w:val="008A7F79"/>
    <w:rsid w:val="008D56CC"/>
    <w:rsid w:val="008D57C2"/>
    <w:rsid w:val="008E5783"/>
    <w:rsid w:val="009051BF"/>
    <w:rsid w:val="009407A1"/>
    <w:rsid w:val="00944C7C"/>
    <w:rsid w:val="009E75FB"/>
    <w:rsid w:val="00A31ED7"/>
    <w:rsid w:val="00A5132B"/>
    <w:rsid w:val="00A80044"/>
    <w:rsid w:val="00A9587D"/>
    <w:rsid w:val="00AA329E"/>
    <w:rsid w:val="00AE3516"/>
    <w:rsid w:val="00AE3800"/>
    <w:rsid w:val="00B113E2"/>
    <w:rsid w:val="00B54E6A"/>
    <w:rsid w:val="00B559E7"/>
    <w:rsid w:val="00B61E2B"/>
    <w:rsid w:val="00BA057D"/>
    <w:rsid w:val="00BD0755"/>
    <w:rsid w:val="00BD253B"/>
    <w:rsid w:val="00BE1126"/>
    <w:rsid w:val="00C066C4"/>
    <w:rsid w:val="00C82F66"/>
    <w:rsid w:val="00CB4AAA"/>
    <w:rsid w:val="00CC072F"/>
    <w:rsid w:val="00CE25E1"/>
    <w:rsid w:val="00D90F79"/>
    <w:rsid w:val="00DA6A82"/>
    <w:rsid w:val="00E33A5D"/>
    <w:rsid w:val="00E769E1"/>
    <w:rsid w:val="00E86609"/>
    <w:rsid w:val="00E93B79"/>
    <w:rsid w:val="00F50053"/>
    <w:rsid w:val="00F544AA"/>
    <w:rsid w:val="00F63C7F"/>
    <w:rsid w:val="00F81A9B"/>
    <w:rsid w:val="00FB378B"/>
    <w:rsid w:val="00FE51BA"/>
    <w:rsid w:val="00FE7AD2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03BC4"/>
  <w15:chartTrackingRefBased/>
  <w15:docId w15:val="{77F01730-9970-4346-8496-B1DA023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24"/>
  </w:style>
  <w:style w:type="paragraph" w:styleId="Footer">
    <w:name w:val="footer"/>
    <w:basedOn w:val="Normal"/>
    <w:link w:val="FooterChar"/>
    <w:uiPriority w:val="99"/>
    <w:unhideWhenUsed/>
    <w:rsid w:val="004D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kvitsiani</dc:creator>
  <cp:keywords/>
  <dc:description/>
  <cp:lastModifiedBy>Irakli Mikadze</cp:lastModifiedBy>
  <cp:revision>14</cp:revision>
  <dcterms:created xsi:type="dcterms:W3CDTF">2022-07-15T10:14:00Z</dcterms:created>
  <dcterms:modified xsi:type="dcterms:W3CDTF">2022-07-25T08:09:00Z</dcterms:modified>
</cp:coreProperties>
</file>